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591" w:rsidRPr="00984990" w:rsidRDefault="007D0591" w:rsidP="00984990">
      <w:pPr>
        <w:spacing w:line="240" w:lineRule="auto"/>
        <w:rPr>
          <w:rFonts w:ascii="Times New Roman" w:hAnsi="Times New Roman" w:cs="Times New Roman"/>
          <w:b/>
          <w:sz w:val="24"/>
          <w:szCs w:val="24"/>
        </w:rPr>
      </w:pPr>
      <w:r w:rsidRPr="00984990">
        <w:rPr>
          <w:rFonts w:ascii="Times New Roman" w:hAnsi="Times New Roman" w:cs="Times New Roman"/>
          <w:b/>
          <w:sz w:val="24"/>
          <w:szCs w:val="24"/>
        </w:rPr>
        <w:t>Cha</w:t>
      </w:r>
      <w:r w:rsidR="00984990">
        <w:rPr>
          <w:rFonts w:ascii="Times New Roman" w:hAnsi="Times New Roman" w:cs="Times New Roman"/>
          <w:b/>
          <w:sz w:val="24"/>
          <w:szCs w:val="24"/>
        </w:rPr>
        <w:t>rt</w:t>
      </w:r>
      <w:r w:rsidR="00744C4C" w:rsidRPr="00984990">
        <w:rPr>
          <w:rFonts w:ascii="Times New Roman" w:hAnsi="Times New Roman" w:cs="Times New Roman"/>
          <w:b/>
          <w:sz w:val="24"/>
          <w:szCs w:val="24"/>
        </w:rPr>
        <w:t xml:space="preserve"> 10</w:t>
      </w:r>
      <w:r w:rsidR="00984990">
        <w:rPr>
          <w:rFonts w:ascii="Times New Roman" w:hAnsi="Times New Roman" w:cs="Times New Roman"/>
          <w:b/>
          <w:sz w:val="24"/>
          <w:szCs w:val="24"/>
        </w:rPr>
        <w:t xml:space="preserve">: </w:t>
      </w:r>
      <w:r w:rsidR="001E09D7" w:rsidRPr="00984990">
        <w:rPr>
          <w:rFonts w:ascii="Times New Roman" w:hAnsi="Times New Roman" w:cs="Times New Roman"/>
          <w:b/>
          <w:sz w:val="24"/>
          <w:szCs w:val="24"/>
        </w:rPr>
        <w:t>Audience and Purpose</w:t>
      </w:r>
      <w:r w:rsidR="00984990">
        <w:rPr>
          <w:rFonts w:ascii="Times New Roman" w:hAnsi="Times New Roman" w:cs="Times New Roman"/>
          <w:b/>
          <w:sz w:val="24"/>
          <w:szCs w:val="24"/>
        </w:rPr>
        <w:t>, Chapter 6</w:t>
      </w:r>
    </w:p>
    <w:p w:rsidR="007D0591" w:rsidRPr="00984990" w:rsidRDefault="00867B64" w:rsidP="00984990">
      <w:pPr>
        <w:shd w:val="clear" w:color="auto" w:fill="FFFFFF"/>
        <w:spacing w:after="0" w:line="240" w:lineRule="auto"/>
        <w:rPr>
          <w:rFonts w:ascii="Times New Roman" w:eastAsia="ヒラギノ角ゴ Pro W3" w:hAnsi="Times New Roman" w:cs="Times New Roman"/>
          <w:b/>
          <w:color w:val="000000"/>
          <w:sz w:val="24"/>
          <w:szCs w:val="24"/>
        </w:rPr>
      </w:pPr>
      <w:proofErr w:type="gramStart"/>
      <w:r w:rsidRPr="00984990">
        <w:rPr>
          <w:rFonts w:ascii="Times New Roman" w:eastAsia="ヒラギノ角ゴ Pro W3" w:hAnsi="Times New Roman" w:cs="Times New Roman"/>
          <w:b/>
          <w:color w:val="000000"/>
          <w:sz w:val="24"/>
          <w:szCs w:val="24"/>
        </w:rPr>
        <w:t>practice</w:t>
      </w:r>
      <w:proofErr w:type="gramEnd"/>
      <w:r w:rsidRPr="00984990">
        <w:rPr>
          <w:rFonts w:ascii="Times New Roman" w:eastAsia="ヒラギノ角ゴ Pro W3" w:hAnsi="Times New Roman" w:cs="Times New Roman"/>
          <w:b/>
          <w:color w:val="000000"/>
          <w:sz w:val="24"/>
          <w:szCs w:val="24"/>
        </w:rPr>
        <w:t xml:space="preserve"> it: </w:t>
      </w:r>
      <w:r w:rsidR="007D0591" w:rsidRPr="00984990">
        <w:rPr>
          <w:rFonts w:ascii="Times New Roman" w:eastAsia="ヒラギノ角ゴ Pro W3" w:hAnsi="Times New Roman" w:cs="Times New Roman"/>
          <w:b/>
          <w:color w:val="000000"/>
          <w:sz w:val="24"/>
          <w:szCs w:val="24"/>
        </w:rPr>
        <w:t>Brainstorming Audience and Purpose (Part 1)</w:t>
      </w:r>
    </w:p>
    <w:p w:rsidR="00984990" w:rsidRDefault="00984990" w:rsidP="00984990">
      <w:pPr>
        <w:spacing w:after="0" w:line="240" w:lineRule="auto"/>
        <w:rPr>
          <w:rFonts w:ascii="Times New Roman" w:eastAsia="ヒラギノ角ゴ Pro W3" w:hAnsi="Times New Roman" w:cs="Times New Roman"/>
          <w:color w:val="000000"/>
          <w:sz w:val="24"/>
          <w:szCs w:val="24"/>
        </w:rPr>
      </w:pPr>
    </w:p>
    <w:p w:rsidR="007D0591" w:rsidRPr="00984990" w:rsidRDefault="007D0591" w:rsidP="00984990">
      <w:pPr>
        <w:spacing w:after="0" w:line="240" w:lineRule="auto"/>
        <w:rPr>
          <w:rFonts w:ascii="Times New Roman" w:eastAsia="ヒラギノ角ゴ Pro W3" w:hAnsi="Times New Roman" w:cs="Times New Roman"/>
          <w:color w:val="000000"/>
          <w:sz w:val="24"/>
          <w:szCs w:val="24"/>
        </w:rPr>
      </w:pPr>
      <w:r w:rsidRPr="00984990">
        <w:rPr>
          <w:rFonts w:ascii="Times New Roman" w:eastAsia="ヒラギノ角ゴ Pro W3" w:hAnsi="Times New Roman" w:cs="Times New Roman"/>
          <w:color w:val="000000"/>
          <w:sz w:val="24"/>
          <w:szCs w:val="24"/>
        </w:rPr>
        <w:t xml:space="preserve">Imagine that your instructor assigned a paper on the topic of public art, but gave you complete freedom to choose the audience and purpose. Brainstorm a list of as many possible types of audiences as you can. Then, for each possible audience, brainstorm one or two possible purposes you might have in writing to that audience about that topic.  </w:t>
      </w:r>
      <w:r w:rsidR="00984990">
        <w:rPr>
          <w:rFonts w:ascii="Times New Roman" w:eastAsia="ヒラギノ角ゴ Pro W3" w:hAnsi="Times New Roman" w:cs="Times New Roman"/>
          <w:color w:val="000000"/>
          <w:sz w:val="24"/>
          <w:szCs w:val="24"/>
        </w:rPr>
        <w:t>The example in the first row demonstrates the process</w:t>
      </w:r>
      <w:r w:rsidRPr="00984990">
        <w:rPr>
          <w:rFonts w:ascii="Times New Roman" w:eastAsia="ヒラギノ角ゴ Pro W3" w:hAnsi="Times New Roman" w:cs="Times New Roman"/>
          <w:color w:val="000000"/>
          <w:sz w:val="24"/>
          <w:szCs w:val="24"/>
        </w:rPr>
        <w:t>. Fill in the rest of the chart with your own ideas, adding rows as needed.</w:t>
      </w:r>
      <w:r w:rsidRPr="00984990">
        <w:rPr>
          <w:rFonts w:ascii="Times New Roman" w:eastAsia="ヒラギノ角ゴ Pro W3" w:hAnsi="Times New Roman" w:cs="Times New Roman"/>
          <w:color w:val="000000"/>
          <w:sz w:val="24"/>
          <w:szCs w:val="24"/>
        </w:rPr>
        <w:cr/>
      </w:r>
    </w:p>
    <w:tbl>
      <w:tblPr>
        <w:tblW w:w="0" w:type="auto"/>
        <w:tblInd w:w="10" w:type="dxa"/>
        <w:shd w:val="clear" w:color="auto" w:fill="FFFFFF"/>
        <w:tblLayout w:type="fixed"/>
        <w:tblLook w:val="0000" w:firstRow="0" w:lastRow="0" w:firstColumn="0" w:lastColumn="0" w:noHBand="0" w:noVBand="0"/>
      </w:tblPr>
      <w:tblGrid>
        <w:gridCol w:w="2520"/>
        <w:gridCol w:w="6660"/>
      </w:tblGrid>
      <w:tr w:rsidR="007D0591" w:rsidRPr="00984990" w:rsidTr="00984990">
        <w:trPr>
          <w:cantSplit/>
          <w:trHeight w:val="448"/>
          <w:tblHeader/>
        </w:trPr>
        <w:tc>
          <w:tcPr>
            <w:tcW w:w="252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0" w:type="dxa"/>
              <w:left w:w="0" w:type="dxa"/>
              <w:bottom w:w="0" w:type="dxa"/>
              <w:right w:w="0" w:type="dxa"/>
            </w:tcMar>
            <w:vAlign w:val="center"/>
          </w:tcPr>
          <w:p w:rsidR="007D0591" w:rsidRPr="00984990" w:rsidRDefault="007D0591" w:rsidP="00984990">
            <w:pPr>
              <w:jc w:val="center"/>
              <w:rPr>
                <w:rFonts w:ascii="Times New Roman" w:hAnsi="Times New Roman" w:cs="Times New Roman"/>
                <w:b/>
              </w:rPr>
            </w:pPr>
            <w:r w:rsidRPr="00984990">
              <w:rPr>
                <w:rFonts w:ascii="Times New Roman" w:hAnsi="Times New Roman" w:cs="Times New Roman"/>
                <w:b/>
              </w:rPr>
              <w:t>Possible Audiences</w:t>
            </w:r>
          </w:p>
        </w:tc>
        <w:tc>
          <w:tcPr>
            <w:tcW w:w="666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0" w:type="dxa"/>
              <w:left w:w="0" w:type="dxa"/>
              <w:bottom w:w="0" w:type="dxa"/>
              <w:right w:w="0" w:type="dxa"/>
            </w:tcMar>
            <w:vAlign w:val="center"/>
          </w:tcPr>
          <w:p w:rsidR="007D0591" w:rsidRPr="00984990" w:rsidRDefault="007D0591" w:rsidP="00984990">
            <w:pPr>
              <w:jc w:val="center"/>
              <w:rPr>
                <w:rFonts w:ascii="Times New Roman" w:hAnsi="Times New Roman" w:cs="Times New Roman"/>
                <w:b/>
              </w:rPr>
            </w:pPr>
            <w:r w:rsidRPr="00984990">
              <w:rPr>
                <w:rFonts w:ascii="Times New Roman" w:hAnsi="Times New Roman" w:cs="Times New Roman"/>
                <w:b/>
              </w:rPr>
              <w:t>Possible Purposes</w:t>
            </w:r>
          </w:p>
        </w:tc>
      </w:tr>
      <w:tr w:rsidR="007D0591" w:rsidRPr="00984990" w:rsidTr="00867B64">
        <w:trPr>
          <w:cantSplit/>
          <w:trHeight w:val="1222"/>
        </w:trPr>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D0591" w:rsidRPr="00984990" w:rsidRDefault="007D0591" w:rsidP="00984990">
            <w:pPr>
              <w:spacing w:after="0" w:line="240" w:lineRule="auto"/>
              <w:rPr>
                <w:rFonts w:ascii="Times New Roman" w:eastAsia="ヒラギノ角ゴ Pro W3" w:hAnsi="Times New Roman" w:cs="Times New Roman"/>
                <w:color w:val="000000"/>
                <w:sz w:val="24"/>
                <w:szCs w:val="24"/>
                <w:shd w:val="clear" w:color="auto" w:fill="FFFFFF"/>
              </w:rPr>
            </w:pPr>
            <w:r w:rsidRPr="00984990">
              <w:rPr>
                <w:rFonts w:ascii="Times New Roman" w:eastAsia="ヒラギノ角ゴ Pro W3" w:hAnsi="Times New Roman" w:cs="Times New Roman"/>
                <w:color w:val="000000"/>
                <w:sz w:val="24"/>
                <w:szCs w:val="24"/>
                <w:shd w:val="clear" w:color="auto" w:fill="FFFFFF"/>
              </w:rPr>
              <w:t>experienced professional artists</w:t>
            </w:r>
          </w:p>
        </w:tc>
        <w:tc>
          <w:tcPr>
            <w:tcW w:w="6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D0591" w:rsidRPr="00984990" w:rsidRDefault="007D0591" w:rsidP="00984990">
            <w:pPr>
              <w:numPr>
                <w:ilvl w:val="0"/>
                <w:numId w:val="1"/>
              </w:numPr>
              <w:spacing w:after="0" w:line="240" w:lineRule="auto"/>
              <w:ind w:hanging="240"/>
              <w:rPr>
                <w:rFonts w:ascii="Times New Roman" w:eastAsia="ヒラギノ角ゴ Pro W3" w:hAnsi="Times New Roman" w:cs="Times New Roman"/>
                <w:color w:val="4F81BD" w:themeColor="accent1"/>
                <w:sz w:val="24"/>
                <w:szCs w:val="24"/>
                <w:shd w:val="clear" w:color="auto" w:fill="FFFFFF"/>
              </w:rPr>
            </w:pPr>
            <w:r w:rsidRPr="00984990">
              <w:rPr>
                <w:rFonts w:ascii="Times New Roman" w:eastAsia="ヒラギノ角ゴ Pro W3" w:hAnsi="Times New Roman" w:cs="Times New Roman"/>
                <w:color w:val="4F81BD" w:themeColor="accent1"/>
                <w:sz w:val="24"/>
                <w:szCs w:val="24"/>
                <w:shd w:val="clear" w:color="auto" w:fill="FFFFFF"/>
              </w:rPr>
              <w:t xml:space="preserve"> to showcase important new works of public art</w:t>
            </w:r>
          </w:p>
          <w:p w:rsidR="007D0591" w:rsidRPr="00984990" w:rsidRDefault="007D0591" w:rsidP="00984990">
            <w:pPr>
              <w:numPr>
                <w:ilvl w:val="0"/>
                <w:numId w:val="1"/>
              </w:numPr>
              <w:spacing w:after="0" w:line="240" w:lineRule="auto"/>
              <w:ind w:hanging="240"/>
              <w:rPr>
                <w:rFonts w:ascii="Times New Roman" w:eastAsia="ヒラギノ角ゴ Pro W3" w:hAnsi="Times New Roman" w:cs="Times New Roman"/>
                <w:color w:val="4F81BD" w:themeColor="accent1"/>
                <w:sz w:val="24"/>
                <w:szCs w:val="24"/>
                <w:shd w:val="clear" w:color="auto" w:fill="FFFFFF"/>
              </w:rPr>
            </w:pPr>
            <w:r w:rsidRPr="00984990">
              <w:rPr>
                <w:rFonts w:ascii="Times New Roman" w:eastAsia="ヒラギノ角ゴ Pro W3" w:hAnsi="Times New Roman" w:cs="Times New Roman"/>
                <w:color w:val="4F81BD" w:themeColor="accent1"/>
                <w:sz w:val="24"/>
                <w:szCs w:val="24"/>
                <w:shd w:val="clear" w:color="auto" w:fill="FFFFFF"/>
              </w:rPr>
              <w:t>to share art techniques</w:t>
            </w:r>
          </w:p>
          <w:p w:rsidR="007D0591" w:rsidRPr="00984990" w:rsidRDefault="007D0591" w:rsidP="00984990">
            <w:pPr>
              <w:numPr>
                <w:ilvl w:val="0"/>
                <w:numId w:val="1"/>
              </w:numPr>
              <w:spacing w:after="0" w:line="240" w:lineRule="auto"/>
              <w:ind w:hanging="240"/>
              <w:rPr>
                <w:rFonts w:ascii="Times New Roman" w:eastAsia="ヒラギノ角ゴ Pro W3" w:hAnsi="Times New Roman" w:cs="Times New Roman"/>
                <w:color w:val="000000"/>
                <w:sz w:val="24"/>
                <w:szCs w:val="24"/>
                <w:shd w:val="clear" w:color="auto" w:fill="FFFFFF"/>
              </w:rPr>
            </w:pPr>
            <w:r w:rsidRPr="00984990">
              <w:rPr>
                <w:rFonts w:ascii="Times New Roman" w:eastAsia="ヒラギノ角ゴ Pro W3" w:hAnsi="Times New Roman" w:cs="Times New Roman"/>
                <w:color w:val="4F81BD" w:themeColor="accent1"/>
                <w:sz w:val="24"/>
                <w:szCs w:val="24"/>
                <w:shd w:val="clear" w:color="auto" w:fill="FFFFFF"/>
              </w:rPr>
              <w:t>to inform them of opportunities to promote their work</w:t>
            </w:r>
          </w:p>
        </w:tc>
      </w:tr>
      <w:tr w:rsidR="007D0591" w:rsidRPr="00984990" w:rsidTr="00867B64">
        <w:trPr>
          <w:cantSplit/>
          <w:trHeight w:val="860"/>
        </w:trPr>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D0591" w:rsidRPr="00984990" w:rsidRDefault="007D0591" w:rsidP="00984990">
            <w:pPr>
              <w:spacing w:after="0" w:line="240" w:lineRule="auto"/>
              <w:rPr>
                <w:rFonts w:ascii="Times New Roman" w:eastAsia="ヒラギノ角ゴ Pro W3" w:hAnsi="Times New Roman" w:cs="Times New Roman"/>
                <w:color w:val="000000"/>
                <w:sz w:val="24"/>
                <w:szCs w:val="24"/>
                <w:shd w:val="clear" w:color="auto" w:fill="FFFFFF"/>
              </w:rPr>
            </w:pPr>
            <w:r w:rsidRPr="00984990">
              <w:rPr>
                <w:rFonts w:ascii="Times New Roman" w:eastAsia="ヒラギノ角ゴ Pro W3" w:hAnsi="Times New Roman" w:cs="Times New Roman"/>
                <w:color w:val="000000"/>
                <w:sz w:val="24"/>
                <w:szCs w:val="24"/>
                <w:shd w:val="clear" w:color="auto" w:fill="FFFFFF"/>
              </w:rPr>
              <w:t>untrained artists and art students</w:t>
            </w:r>
          </w:p>
        </w:tc>
        <w:tc>
          <w:tcPr>
            <w:tcW w:w="6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D0591" w:rsidRPr="00984990" w:rsidRDefault="007D0591" w:rsidP="00984990">
            <w:pPr>
              <w:spacing w:after="0" w:line="240" w:lineRule="auto"/>
              <w:rPr>
                <w:rFonts w:ascii="Times New Roman" w:eastAsia="ヒラギノ角ゴ Pro W3" w:hAnsi="Times New Roman" w:cs="Times New Roman"/>
                <w:color w:val="000000"/>
                <w:szCs w:val="24"/>
              </w:rPr>
            </w:pPr>
          </w:p>
        </w:tc>
      </w:tr>
      <w:tr w:rsidR="007D0591" w:rsidRPr="00984990" w:rsidTr="00867B64">
        <w:trPr>
          <w:cantSplit/>
          <w:trHeight w:val="789"/>
        </w:trPr>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D0591" w:rsidRPr="00984990" w:rsidRDefault="007D0591" w:rsidP="00984990">
            <w:pPr>
              <w:spacing w:after="0" w:line="240" w:lineRule="auto"/>
              <w:rPr>
                <w:rFonts w:ascii="Times New Roman" w:eastAsia="ヒラギノ角ゴ Pro W3" w:hAnsi="Times New Roman" w:cs="Times New Roman"/>
                <w:color w:val="000000"/>
                <w:sz w:val="24"/>
                <w:szCs w:val="24"/>
                <w:shd w:val="clear" w:color="auto" w:fill="FFFFFF"/>
              </w:rPr>
            </w:pPr>
            <w:r w:rsidRPr="00984990">
              <w:rPr>
                <w:rFonts w:ascii="Times New Roman" w:eastAsia="ヒラギノ角ゴ Pro W3" w:hAnsi="Times New Roman" w:cs="Times New Roman"/>
                <w:color w:val="000000"/>
                <w:sz w:val="24"/>
                <w:szCs w:val="24"/>
                <w:shd w:val="clear" w:color="auto" w:fill="FFFFFF"/>
              </w:rPr>
              <w:t>homeowners</w:t>
            </w:r>
          </w:p>
        </w:tc>
        <w:tc>
          <w:tcPr>
            <w:tcW w:w="6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D0591" w:rsidRPr="00984990" w:rsidRDefault="007D0591" w:rsidP="00984990">
            <w:pPr>
              <w:spacing w:after="0" w:line="240" w:lineRule="auto"/>
              <w:rPr>
                <w:rFonts w:ascii="Times New Roman" w:eastAsia="ヒラギノ角ゴ Pro W3" w:hAnsi="Times New Roman" w:cs="Times New Roman"/>
                <w:color w:val="000000"/>
                <w:szCs w:val="24"/>
              </w:rPr>
            </w:pPr>
            <w:bookmarkStart w:id="0" w:name="_GoBack"/>
            <w:bookmarkEnd w:id="0"/>
          </w:p>
        </w:tc>
      </w:tr>
      <w:tr w:rsidR="007D0591" w:rsidRPr="00984990" w:rsidTr="00867B64">
        <w:trPr>
          <w:cantSplit/>
          <w:trHeight w:val="760"/>
        </w:trPr>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D0591" w:rsidRPr="00984990" w:rsidRDefault="007D0591" w:rsidP="00984990">
            <w:pPr>
              <w:spacing w:after="0" w:line="240" w:lineRule="auto"/>
              <w:rPr>
                <w:rFonts w:ascii="Times New Roman" w:eastAsia="ヒラギノ角ゴ Pro W3" w:hAnsi="Times New Roman" w:cs="Times New Roman"/>
                <w:color w:val="000000"/>
                <w:sz w:val="24"/>
                <w:szCs w:val="24"/>
                <w:shd w:val="clear" w:color="auto" w:fill="FFFFFF"/>
              </w:rPr>
            </w:pPr>
            <w:r w:rsidRPr="00984990">
              <w:rPr>
                <w:rFonts w:ascii="Times New Roman" w:eastAsia="ヒラギノ角ゴ Pro W3" w:hAnsi="Times New Roman" w:cs="Times New Roman"/>
                <w:color w:val="000000"/>
                <w:sz w:val="24"/>
                <w:szCs w:val="24"/>
                <w:shd w:val="clear" w:color="auto" w:fill="FFFFFF"/>
              </w:rPr>
              <w:t>commercial property owners</w:t>
            </w:r>
          </w:p>
        </w:tc>
        <w:tc>
          <w:tcPr>
            <w:tcW w:w="6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D0591" w:rsidRPr="00984990" w:rsidRDefault="007D0591" w:rsidP="00984990">
            <w:pPr>
              <w:spacing w:after="0" w:line="240" w:lineRule="auto"/>
              <w:rPr>
                <w:rFonts w:ascii="Times New Roman" w:eastAsia="ヒラギノ角ゴ Pro W3" w:hAnsi="Times New Roman" w:cs="Times New Roman"/>
                <w:color w:val="000000"/>
                <w:szCs w:val="24"/>
              </w:rPr>
            </w:pPr>
          </w:p>
        </w:tc>
      </w:tr>
      <w:tr w:rsidR="007D0591" w:rsidRPr="00984990" w:rsidTr="00867B64">
        <w:trPr>
          <w:cantSplit/>
          <w:trHeight w:val="860"/>
        </w:trPr>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D0591" w:rsidRPr="00984990" w:rsidRDefault="007D0591" w:rsidP="00984990">
            <w:pPr>
              <w:spacing w:after="0" w:line="240" w:lineRule="auto"/>
              <w:rPr>
                <w:rFonts w:ascii="Times New Roman" w:eastAsia="ヒラギノ角ゴ Pro W3" w:hAnsi="Times New Roman" w:cs="Times New Roman"/>
                <w:color w:val="000000"/>
                <w:szCs w:val="24"/>
              </w:rPr>
            </w:pPr>
            <w:r w:rsidRPr="00984990">
              <w:rPr>
                <w:rFonts w:ascii="Times New Roman" w:eastAsia="ヒラギノ角ゴ Pro W3" w:hAnsi="Times New Roman" w:cs="Times New Roman"/>
                <w:color w:val="000000"/>
                <w:sz w:val="24"/>
                <w:szCs w:val="24"/>
                <w:shd w:val="clear" w:color="auto" w:fill="FFFFFF"/>
              </w:rPr>
              <w:t>taxpayers/citizens</w:t>
            </w:r>
          </w:p>
        </w:tc>
        <w:tc>
          <w:tcPr>
            <w:tcW w:w="6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D0591" w:rsidRPr="00984990" w:rsidRDefault="007D0591" w:rsidP="00984990">
            <w:pPr>
              <w:spacing w:after="0" w:line="240" w:lineRule="auto"/>
              <w:rPr>
                <w:rFonts w:ascii="Times New Roman" w:eastAsia="ヒラギノ角ゴ Pro W3" w:hAnsi="Times New Roman" w:cs="Times New Roman"/>
                <w:color w:val="000000"/>
                <w:szCs w:val="24"/>
              </w:rPr>
            </w:pPr>
          </w:p>
        </w:tc>
      </w:tr>
      <w:tr w:rsidR="007D0591" w:rsidRPr="00984990" w:rsidTr="00867B64">
        <w:trPr>
          <w:cantSplit/>
          <w:trHeight w:val="860"/>
        </w:trPr>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D0591" w:rsidRPr="00984990" w:rsidRDefault="00867B64" w:rsidP="00984990">
            <w:pPr>
              <w:spacing w:after="0" w:line="240" w:lineRule="auto"/>
              <w:rPr>
                <w:rFonts w:ascii="Times New Roman" w:eastAsia="ヒラギノ角ゴ Pro W3" w:hAnsi="Times New Roman" w:cs="Times New Roman"/>
                <w:color w:val="000000"/>
                <w:szCs w:val="24"/>
              </w:rPr>
            </w:pPr>
            <w:r w:rsidRPr="00984990">
              <w:rPr>
                <w:rFonts w:ascii="Times New Roman" w:eastAsia="ヒラギノ角ゴ Pro W3" w:hAnsi="Times New Roman" w:cs="Times New Roman"/>
                <w:color w:val="000000"/>
                <w:sz w:val="24"/>
                <w:szCs w:val="24"/>
                <w:shd w:val="clear" w:color="auto" w:fill="FFFFFF"/>
              </w:rPr>
              <w:t>E</w:t>
            </w:r>
            <w:r w:rsidR="007D0591" w:rsidRPr="00984990">
              <w:rPr>
                <w:rFonts w:ascii="Times New Roman" w:eastAsia="ヒラギノ角ゴ Pro W3" w:hAnsi="Times New Roman" w:cs="Times New Roman"/>
                <w:color w:val="000000"/>
                <w:sz w:val="24"/>
                <w:szCs w:val="24"/>
                <w:shd w:val="clear" w:color="auto" w:fill="FFFFFF"/>
              </w:rPr>
              <w:t>ducators</w:t>
            </w:r>
          </w:p>
        </w:tc>
        <w:tc>
          <w:tcPr>
            <w:tcW w:w="6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D0591" w:rsidRPr="00984990" w:rsidRDefault="007D0591" w:rsidP="00984990">
            <w:pPr>
              <w:spacing w:after="0" w:line="240" w:lineRule="auto"/>
              <w:rPr>
                <w:rFonts w:ascii="Times New Roman" w:eastAsia="ヒラギノ角ゴ Pro W3" w:hAnsi="Times New Roman" w:cs="Times New Roman"/>
                <w:color w:val="000000"/>
                <w:szCs w:val="24"/>
              </w:rPr>
            </w:pPr>
          </w:p>
        </w:tc>
      </w:tr>
      <w:tr w:rsidR="007D0591" w:rsidRPr="00984990" w:rsidTr="00867B64">
        <w:trPr>
          <w:cantSplit/>
          <w:trHeight w:val="860"/>
        </w:trPr>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D0591" w:rsidRPr="00984990" w:rsidRDefault="007D0591" w:rsidP="00984990">
            <w:pPr>
              <w:spacing w:after="0" w:line="240" w:lineRule="auto"/>
              <w:rPr>
                <w:rFonts w:ascii="Times New Roman" w:eastAsia="ヒラギノ角ゴ Pro W3" w:hAnsi="Times New Roman" w:cs="Times New Roman"/>
                <w:color w:val="000000"/>
                <w:szCs w:val="24"/>
              </w:rPr>
            </w:pPr>
            <w:proofErr w:type="gramStart"/>
            <w:r w:rsidRPr="00984990">
              <w:rPr>
                <w:rFonts w:ascii="Times New Roman" w:eastAsia="ヒラギノ角ゴ Pro W3" w:hAnsi="Times New Roman" w:cs="Times New Roman"/>
                <w:color w:val="000000"/>
                <w:sz w:val="24"/>
                <w:szCs w:val="24"/>
                <w:shd w:val="clear" w:color="auto" w:fill="FFFFFF"/>
              </w:rPr>
              <w:t>others</w:t>
            </w:r>
            <w:proofErr w:type="gramEnd"/>
            <w:r w:rsidRPr="00984990">
              <w:rPr>
                <w:rFonts w:ascii="Times New Roman" w:eastAsia="ヒラギノ角ゴ Pro W3" w:hAnsi="Times New Roman" w:cs="Times New Roman"/>
                <w:color w:val="000000"/>
                <w:sz w:val="24"/>
                <w:szCs w:val="24"/>
                <w:shd w:val="clear" w:color="auto" w:fill="FFFFFF"/>
              </w:rPr>
              <w:t>?</w:t>
            </w:r>
          </w:p>
        </w:tc>
        <w:tc>
          <w:tcPr>
            <w:tcW w:w="6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D0591" w:rsidRPr="00984990" w:rsidRDefault="007D0591" w:rsidP="00984990">
            <w:pPr>
              <w:spacing w:after="0" w:line="240" w:lineRule="auto"/>
              <w:rPr>
                <w:rFonts w:ascii="Times New Roman" w:eastAsia="ヒラギノ角ゴ Pro W3" w:hAnsi="Times New Roman" w:cs="Times New Roman"/>
                <w:color w:val="000000"/>
                <w:szCs w:val="24"/>
              </w:rPr>
            </w:pPr>
          </w:p>
        </w:tc>
      </w:tr>
      <w:tr w:rsidR="007D0591" w:rsidRPr="00984990" w:rsidTr="00867B64">
        <w:trPr>
          <w:cantSplit/>
          <w:trHeight w:val="860"/>
        </w:trPr>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D0591" w:rsidRPr="00984990" w:rsidRDefault="007D0591" w:rsidP="00984990">
            <w:pPr>
              <w:spacing w:after="0" w:line="240" w:lineRule="auto"/>
              <w:rPr>
                <w:rFonts w:ascii="Times New Roman" w:eastAsia="ヒラギノ角ゴ Pro W3" w:hAnsi="Times New Roman" w:cs="Times New Roman"/>
                <w:color w:val="000000"/>
                <w:szCs w:val="24"/>
              </w:rPr>
            </w:pPr>
          </w:p>
        </w:tc>
        <w:tc>
          <w:tcPr>
            <w:tcW w:w="6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D0591" w:rsidRPr="00984990" w:rsidRDefault="007D0591" w:rsidP="00984990">
            <w:pPr>
              <w:spacing w:after="0" w:line="240" w:lineRule="auto"/>
              <w:rPr>
                <w:rFonts w:ascii="Times New Roman" w:eastAsia="ヒラギノ角ゴ Pro W3" w:hAnsi="Times New Roman" w:cs="Times New Roman"/>
                <w:color w:val="000000"/>
                <w:szCs w:val="24"/>
              </w:rPr>
            </w:pPr>
          </w:p>
        </w:tc>
      </w:tr>
    </w:tbl>
    <w:p w:rsidR="00D22DC6" w:rsidRPr="00984990" w:rsidRDefault="00D22DC6" w:rsidP="00984990">
      <w:pPr>
        <w:spacing w:line="240" w:lineRule="auto"/>
        <w:rPr>
          <w:rFonts w:ascii="Times New Roman" w:hAnsi="Times New Roman" w:cs="Times New Roman"/>
        </w:rPr>
      </w:pPr>
    </w:p>
    <w:sectPr w:rsidR="00D22DC6" w:rsidRPr="009849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65F" w:rsidRDefault="00E4565F" w:rsidP="00867B64">
      <w:pPr>
        <w:spacing w:after="0" w:line="240" w:lineRule="auto"/>
      </w:pPr>
      <w:r>
        <w:separator/>
      </w:r>
    </w:p>
  </w:endnote>
  <w:endnote w:type="continuationSeparator" w:id="0">
    <w:p w:rsidR="00E4565F" w:rsidRDefault="00E4565F" w:rsidP="0086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64" w:rsidRDefault="00867B64" w:rsidP="00867B64">
    <w:pPr>
      <w:pStyle w:val="Header"/>
    </w:pPr>
    <w:r>
      <w:rPr>
        <w:i/>
      </w:rPr>
      <w:t>Read, Write, Connect: A Guide to College Reading and Writing</w:t>
    </w:r>
  </w:p>
  <w:p w:rsidR="00867B64" w:rsidRDefault="00867B64" w:rsidP="00867B64">
    <w:pPr>
      <w:pStyle w:val="Header"/>
    </w:pPr>
    <w:r>
      <w:t xml:space="preserve">Kathleen Green and Amy </w:t>
    </w:r>
    <w:proofErr w:type="spellStart"/>
    <w:r>
      <w:t>Lawlor</w:t>
    </w:r>
    <w:proofErr w:type="spellEnd"/>
  </w:p>
  <w:p w:rsidR="00867B64" w:rsidRDefault="00867B64" w:rsidP="00867B64">
    <w:pPr>
      <w:pStyle w:val="Header"/>
    </w:pPr>
    <w:r>
      <w:t>©2014, Bedford/St. Martin’s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65F" w:rsidRDefault="00E4565F" w:rsidP="00867B64">
      <w:pPr>
        <w:spacing w:after="0" w:line="240" w:lineRule="auto"/>
      </w:pPr>
      <w:r>
        <w:separator/>
      </w:r>
    </w:p>
  </w:footnote>
  <w:footnote w:type="continuationSeparator" w:id="0">
    <w:p w:rsidR="00E4565F" w:rsidRDefault="00E4565F" w:rsidP="00867B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A2453AE"/>
    <w:lvl w:ilvl="0">
      <w:start w:val="1"/>
      <w:numFmt w:val="decimal"/>
      <w:isLgl/>
      <w:lvlText w:val="%1."/>
      <w:lvlJc w:val="left"/>
      <w:pPr>
        <w:tabs>
          <w:tab w:val="num" w:pos="240"/>
        </w:tabs>
        <w:ind w:left="240" w:firstLine="0"/>
      </w:pPr>
      <w:rPr>
        <w:rFonts w:hint="default"/>
        <w:color w:val="4F81BD" w:themeColor="accent1"/>
        <w:position w:val="0"/>
        <w:sz w:val="22"/>
      </w:rPr>
    </w:lvl>
    <w:lvl w:ilvl="1">
      <w:start w:val="1"/>
      <w:numFmt w:val="lowerLetter"/>
      <w:suff w:val="nothing"/>
      <w:lvlText w:val="%2."/>
      <w:lvlJc w:val="left"/>
      <w:pPr>
        <w:ind w:left="0" w:firstLine="600"/>
      </w:pPr>
      <w:rPr>
        <w:rFonts w:hint="default"/>
        <w:position w:val="0"/>
        <w:sz w:val="22"/>
      </w:rPr>
    </w:lvl>
    <w:lvl w:ilvl="2">
      <w:start w:val="1"/>
      <w:numFmt w:val="lowerRoman"/>
      <w:suff w:val="nothing"/>
      <w:lvlText w:val="%3."/>
      <w:lvlJc w:val="left"/>
      <w:pPr>
        <w:ind w:left="0" w:firstLine="960"/>
      </w:pPr>
      <w:rPr>
        <w:rFonts w:hint="default"/>
        <w:position w:val="0"/>
        <w:sz w:val="22"/>
      </w:rPr>
    </w:lvl>
    <w:lvl w:ilvl="3">
      <w:start w:val="1"/>
      <w:numFmt w:val="decimal"/>
      <w:isLgl/>
      <w:suff w:val="nothing"/>
      <w:lvlText w:val="%4."/>
      <w:lvlJc w:val="left"/>
      <w:pPr>
        <w:ind w:left="0" w:firstLine="1320"/>
      </w:pPr>
      <w:rPr>
        <w:rFonts w:hint="default"/>
        <w:position w:val="0"/>
        <w:sz w:val="22"/>
      </w:rPr>
    </w:lvl>
    <w:lvl w:ilvl="4">
      <w:start w:val="1"/>
      <w:numFmt w:val="lowerLetter"/>
      <w:suff w:val="nothing"/>
      <w:lvlText w:val="%5."/>
      <w:lvlJc w:val="left"/>
      <w:pPr>
        <w:ind w:left="0" w:firstLine="1680"/>
      </w:pPr>
      <w:rPr>
        <w:rFonts w:hint="default"/>
        <w:position w:val="0"/>
        <w:sz w:val="22"/>
      </w:rPr>
    </w:lvl>
    <w:lvl w:ilvl="5">
      <w:start w:val="1"/>
      <w:numFmt w:val="lowerRoman"/>
      <w:suff w:val="nothing"/>
      <w:lvlText w:val="%6."/>
      <w:lvlJc w:val="left"/>
      <w:pPr>
        <w:ind w:left="0" w:firstLine="2040"/>
      </w:pPr>
      <w:rPr>
        <w:rFonts w:hint="default"/>
        <w:position w:val="0"/>
        <w:sz w:val="22"/>
      </w:rPr>
    </w:lvl>
    <w:lvl w:ilvl="6">
      <w:start w:val="1"/>
      <w:numFmt w:val="decimal"/>
      <w:isLgl/>
      <w:suff w:val="nothing"/>
      <w:lvlText w:val="%7."/>
      <w:lvlJc w:val="left"/>
      <w:pPr>
        <w:ind w:left="0" w:firstLine="2400"/>
      </w:pPr>
      <w:rPr>
        <w:rFonts w:hint="default"/>
        <w:position w:val="0"/>
        <w:sz w:val="22"/>
      </w:rPr>
    </w:lvl>
    <w:lvl w:ilvl="7">
      <w:start w:val="1"/>
      <w:numFmt w:val="lowerLetter"/>
      <w:suff w:val="nothing"/>
      <w:lvlText w:val="%8."/>
      <w:lvlJc w:val="left"/>
      <w:pPr>
        <w:ind w:left="0" w:firstLine="2760"/>
      </w:pPr>
      <w:rPr>
        <w:rFonts w:hint="default"/>
        <w:position w:val="0"/>
        <w:sz w:val="22"/>
      </w:rPr>
    </w:lvl>
    <w:lvl w:ilvl="8">
      <w:start w:val="1"/>
      <w:numFmt w:val="lowerRoman"/>
      <w:suff w:val="nothing"/>
      <w:lvlText w:val="%9."/>
      <w:lvlJc w:val="left"/>
      <w:pPr>
        <w:ind w:left="0" w:firstLine="3120"/>
      </w:pPr>
      <w:rPr>
        <w:rFonts w:hint="default"/>
        <w:position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591"/>
    <w:rsid w:val="001E09D7"/>
    <w:rsid w:val="002923C1"/>
    <w:rsid w:val="00744C4C"/>
    <w:rsid w:val="007D0591"/>
    <w:rsid w:val="00867B64"/>
    <w:rsid w:val="00984990"/>
    <w:rsid w:val="00A75E76"/>
    <w:rsid w:val="00B12673"/>
    <w:rsid w:val="00D22DC6"/>
    <w:rsid w:val="00E4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B64"/>
  </w:style>
  <w:style w:type="paragraph" w:styleId="Footer">
    <w:name w:val="footer"/>
    <w:basedOn w:val="Normal"/>
    <w:link w:val="FooterChar"/>
    <w:uiPriority w:val="99"/>
    <w:unhideWhenUsed/>
    <w:rsid w:val="00867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B64"/>
  </w:style>
  <w:style w:type="paragraph" w:styleId="BalloonText">
    <w:name w:val="Balloon Text"/>
    <w:basedOn w:val="Normal"/>
    <w:link w:val="BalloonTextChar"/>
    <w:uiPriority w:val="99"/>
    <w:semiHidden/>
    <w:unhideWhenUsed/>
    <w:rsid w:val="00867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B64"/>
  </w:style>
  <w:style w:type="paragraph" w:styleId="Footer">
    <w:name w:val="footer"/>
    <w:basedOn w:val="Normal"/>
    <w:link w:val="FooterChar"/>
    <w:uiPriority w:val="99"/>
    <w:unhideWhenUsed/>
    <w:rsid w:val="00867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B64"/>
  </w:style>
  <w:style w:type="paragraph" w:styleId="BalloonText">
    <w:name w:val="Balloon Text"/>
    <w:basedOn w:val="Normal"/>
    <w:link w:val="BalloonTextChar"/>
    <w:uiPriority w:val="99"/>
    <w:semiHidden/>
    <w:unhideWhenUsed/>
    <w:rsid w:val="00867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Darion</dc:creator>
  <cp:lastModifiedBy>Melissa Graham Meeks</cp:lastModifiedBy>
  <cp:revision>4</cp:revision>
  <dcterms:created xsi:type="dcterms:W3CDTF">2013-07-30T14:57:00Z</dcterms:created>
  <dcterms:modified xsi:type="dcterms:W3CDTF">2014-07-10T12:28:00Z</dcterms:modified>
</cp:coreProperties>
</file>