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7" w:rsidRPr="00A764D5" w:rsidRDefault="00A764D5" w:rsidP="0011050C">
      <w:pPr>
        <w:keepNext/>
        <w:spacing w:before="240" w:after="60" w:line="240" w:lineRule="auto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 w:rsidRPr="00A764D5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Chart 14</w:t>
      </w:r>
      <w:r w:rsidR="00E250EA" w:rsidRPr="00A764D5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: </w:t>
      </w:r>
      <w:r w:rsidR="00366B27" w:rsidRPr="00A764D5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Synthesis Chart</w:t>
      </w:r>
      <w:r w:rsidR="00E250EA" w:rsidRPr="00A764D5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for </w:t>
      </w:r>
      <w:proofErr w:type="spellStart"/>
      <w:r w:rsidR="00E250EA" w:rsidRPr="00A764D5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Ch</w:t>
      </w:r>
      <w:proofErr w:type="spellEnd"/>
      <w:r w:rsidR="00E250EA" w:rsidRPr="00A764D5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22,</w:t>
      </w:r>
      <w:r w:rsidR="00366B27" w:rsidRPr="00A764D5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Public Art</w:t>
      </w:r>
    </w:p>
    <w:p w:rsidR="00366B27" w:rsidRPr="00A764D5" w:rsidRDefault="00366B27" w:rsidP="0011050C">
      <w:pPr>
        <w:spacing w:line="240" w:lineRule="auto"/>
        <w:rPr>
          <w:rFonts w:ascii="Times New Roman" w:hAnsi="Times New Roman" w:cs="Times New Roman"/>
          <w:sz w:val="24"/>
        </w:rPr>
      </w:pPr>
      <w:r w:rsidRPr="00A764D5">
        <w:rPr>
          <w:rFonts w:ascii="Times New Roman" w:hAnsi="Times New Roman" w:cs="Times New Roman"/>
          <w:sz w:val="24"/>
        </w:rPr>
        <w:t>Use the chart below to help organize your thoughts about the readings in this chapter</w:t>
      </w:r>
      <w:r w:rsidR="0011050C" w:rsidRPr="00A764D5">
        <w:rPr>
          <w:rFonts w:ascii="Times New Roman" w:hAnsi="Times New Roman" w:cs="Times New Roman"/>
          <w:sz w:val="24"/>
        </w:rPr>
        <w:t>. For more guidance, see p. 501 of your print book</w:t>
      </w:r>
      <w:r w:rsidRPr="00A764D5">
        <w:rPr>
          <w:rFonts w:ascii="Times New Roman" w:hAnsi="Times New Roman" w:cs="Times New Roman"/>
          <w:sz w:val="24"/>
        </w:rPr>
        <w:t>. Add columns to the chart as needed.</w:t>
      </w:r>
    </w:p>
    <w:p w:rsidR="00366B27" w:rsidRPr="00A764D5" w:rsidRDefault="00366B27" w:rsidP="0011050C">
      <w:pPr>
        <w:keepNext/>
        <w:spacing w:before="240" w:after="60" w:line="240" w:lineRule="auto"/>
        <w:outlineLvl w:val="1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0"/>
        <w:gridCol w:w="2106"/>
        <w:gridCol w:w="2106"/>
        <w:gridCol w:w="2106"/>
        <w:gridCol w:w="2106"/>
        <w:gridCol w:w="2106"/>
      </w:tblGrid>
      <w:tr w:rsidR="00366B27" w:rsidRPr="00A764D5" w:rsidTr="0011050C">
        <w:trPr>
          <w:cantSplit/>
          <w:trHeight w:val="880"/>
          <w:tblHeader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27" w:rsidRPr="00A764D5" w:rsidRDefault="00366B27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27" w:rsidRPr="007959B7" w:rsidRDefault="00366B27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</w:pPr>
            <w:r w:rsidRPr="007959B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  <w:t>What Is Art?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27" w:rsidRPr="007959B7" w:rsidRDefault="00366B27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</w:pPr>
            <w:r w:rsidRPr="007959B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  <w:t>Ownership of Art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27" w:rsidRPr="007959B7" w:rsidRDefault="00366B27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7959B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Art and Community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27" w:rsidRPr="007959B7" w:rsidRDefault="00366B27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7959B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Legal versus Illegal Art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B27" w:rsidRPr="007959B7" w:rsidRDefault="00366B27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</w:pPr>
            <w:r w:rsidRPr="007959B7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  <w:t>Other:</w:t>
            </w:r>
          </w:p>
          <w:p w:rsidR="00366B27" w:rsidRPr="007959B7" w:rsidRDefault="00366B27" w:rsidP="0011050C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shd w:val="clear" w:color="auto" w:fill="BEC0BF"/>
              </w:rPr>
            </w:pPr>
          </w:p>
        </w:tc>
      </w:tr>
      <w:tr w:rsidR="00366B27" w:rsidRPr="00A764D5" w:rsidTr="0011050C">
        <w:trPr>
          <w:cantSplit/>
          <w:trHeight w:val="11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50C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Becker,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“Public Art: An Essential Component of Creating Communities”</w:t>
            </w:r>
          </w:p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Frank, 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“Public Art” and “Street Art”</w:t>
            </w:r>
          </w:p>
          <w:p w:rsidR="0011050C" w:rsidRPr="00A764D5" w:rsidRDefault="0011050C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Treguer</w:t>
            </w:r>
            <w:proofErr w:type="spellEnd"/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“Chicanos Paint Their Way Back”</w:t>
            </w:r>
          </w:p>
          <w:p w:rsidR="0011050C" w:rsidRPr="00A764D5" w:rsidRDefault="0011050C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Shank, 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“Whose Art Is This Anyway?” </w:t>
            </w:r>
          </w:p>
          <w:p w:rsidR="0011050C" w:rsidRPr="00A764D5" w:rsidRDefault="0011050C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8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Kan</w:t>
            </w:r>
            <w:proofErr w:type="spellEnd"/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“Adolescents and Graffiti” </w:t>
            </w:r>
          </w:p>
          <w:p w:rsidR="0011050C" w:rsidRPr="00A764D5" w:rsidRDefault="0011050C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14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Los Angeles Police Department, 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“What Graffiti Means to a Community”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3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Gaddy</w:t>
            </w:r>
            <w:proofErr w:type="spellEnd"/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“Nowhere Man”</w:t>
            </w:r>
          </w:p>
          <w:p w:rsidR="0011050C" w:rsidRPr="00A764D5" w:rsidRDefault="0011050C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14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Xia, 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“Lighthearted Street Art Delights (and Confuses) Downtown L.A. Visitors” </w:t>
            </w:r>
          </w:p>
          <w:p w:rsidR="0011050C" w:rsidRPr="00A764D5" w:rsidRDefault="0011050C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20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Buffalo Law Journal, </w:t>
            </w:r>
            <w:r w:rsidR="0011050C"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“Battle over Yard Art Sometimes Turns Ugly”</w:t>
            </w:r>
          </w:p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366B27" w:rsidRPr="00A764D5" w:rsidTr="0011050C">
        <w:trPr>
          <w:cantSplit/>
          <w:trHeight w:val="34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4D5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My thoughts</w:t>
            </w:r>
          </w:p>
          <w:p w:rsidR="0011050C" w:rsidRPr="00A764D5" w:rsidRDefault="0011050C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B27" w:rsidRPr="00A764D5" w:rsidRDefault="00366B27" w:rsidP="0011050C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</w:tbl>
    <w:p w:rsidR="00366B27" w:rsidRPr="00A764D5" w:rsidRDefault="00366B27" w:rsidP="0011050C">
      <w:pPr>
        <w:spacing w:line="240" w:lineRule="auto"/>
        <w:rPr>
          <w:rFonts w:ascii="Times New Roman" w:hAnsi="Times New Roman" w:cs="Times New Roman"/>
        </w:rPr>
      </w:pPr>
    </w:p>
    <w:p w:rsidR="00366B27" w:rsidRPr="00A764D5" w:rsidRDefault="00366B27" w:rsidP="0011050C">
      <w:pPr>
        <w:spacing w:after="0" w:line="240" w:lineRule="auto"/>
        <w:ind w:left="10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D22DC6" w:rsidRPr="00A764D5" w:rsidRDefault="00D22DC6" w:rsidP="0011050C">
      <w:pPr>
        <w:spacing w:line="240" w:lineRule="auto"/>
        <w:rPr>
          <w:rFonts w:ascii="Times New Roman" w:hAnsi="Times New Roman" w:cs="Times New Roman"/>
        </w:rPr>
      </w:pPr>
    </w:p>
    <w:sectPr w:rsidR="00D22DC6" w:rsidRPr="00A764D5" w:rsidSect="0011050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7A" w:rsidRDefault="0020307A" w:rsidP="0011050C">
      <w:pPr>
        <w:spacing w:after="0" w:line="240" w:lineRule="auto"/>
      </w:pPr>
      <w:r>
        <w:separator/>
      </w:r>
    </w:p>
  </w:endnote>
  <w:endnote w:type="continuationSeparator" w:id="0">
    <w:p w:rsidR="0020307A" w:rsidRDefault="0020307A" w:rsidP="0011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C" w:rsidRDefault="0011050C" w:rsidP="0011050C">
    <w:pPr>
      <w:pStyle w:val="Header"/>
    </w:pPr>
    <w:r>
      <w:rPr>
        <w:i/>
      </w:rPr>
      <w:t>Read, Write, Connect: A Guide to College Reading and Writing</w:t>
    </w:r>
  </w:p>
  <w:p w:rsidR="0011050C" w:rsidRDefault="0011050C" w:rsidP="0011050C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11050C" w:rsidRDefault="0011050C" w:rsidP="0011050C">
    <w:pPr>
      <w:pStyle w:val="Header"/>
    </w:pPr>
    <w:r>
      <w:t>©2014, Bedford/St. Martin’s</w:t>
    </w:r>
  </w:p>
  <w:p w:rsidR="0011050C" w:rsidRDefault="0011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7A" w:rsidRDefault="0020307A" w:rsidP="0011050C">
      <w:pPr>
        <w:spacing w:after="0" w:line="240" w:lineRule="auto"/>
      </w:pPr>
      <w:r>
        <w:separator/>
      </w:r>
    </w:p>
  </w:footnote>
  <w:footnote w:type="continuationSeparator" w:id="0">
    <w:p w:rsidR="0020307A" w:rsidRDefault="0020307A" w:rsidP="00110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7"/>
    <w:rsid w:val="0011050C"/>
    <w:rsid w:val="0020307A"/>
    <w:rsid w:val="00366B27"/>
    <w:rsid w:val="00395409"/>
    <w:rsid w:val="00613F9A"/>
    <w:rsid w:val="007959B7"/>
    <w:rsid w:val="00812682"/>
    <w:rsid w:val="00886A67"/>
    <w:rsid w:val="00A764D5"/>
    <w:rsid w:val="00C93C16"/>
    <w:rsid w:val="00D22DC6"/>
    <w:rsid w:val="00E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0C"/>
  </w:style>
  <w:style w:type="paragraph" w:styleId="Footer">
    <w:name w:val="footer"/>
    <w:basedOn w:val="Normal"/>
    <w:link w:val="Foot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0C"/>
  </w:style>
  <w:style w:type="paragraph" w:styleId="BalloonText">
    <w:name w:val="Balloon Text"/>
    <w:basedOn w:val="Normal"/>
    <w:link w:val="BalloonTextChar"/>
    <w:uiPriority w:val="99"/>
    <w:semiHidden/>
    <w:unhideWhenUsed/>
    <w:rsid w:val="001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0C"/>
  </w:style>
  <w:style w:type="paragraph" w:styleId="Footer">
    <w:name w:val="footer"/>
    <w:basedOn w:val="Normal"/>
    <w:link w:val="FooterChar"/>
    <w:uiPriority w:val="99"/>
    <w:unhideWhenUsed/>
    <w:rsid w:val="00110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0C"/>
  </w:style>
  <w:style w:type="paragraph" w:styleId="BalloonText">
    <w:name w:val="Balloon Text"/>
    <w:basedOn w:val="Normal"/>
    <w:link w:val="BalloonTextChar"/>
    <w:uiPriority w:val="99"/>
    <w:semiHidden/>
    <w:unhideWhenUsed/>
    <w:rsid w:val="0011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5</cp:revision>
  <dcterms:created xsi:type="dcterms:W3CDTF">2013-07-30T14:59:00Z</dcterms:created>
  <dcterms:modified xsi:type="dcterms:W3CDTF">2014-07-10T12:32:00Z</dcterms:modified>
</cp:coreProperties>
</file>