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E8" w:rsidRPr="00156B25" w:rsidRDefault="007453A2" w:rsidP="00144BE8">
      <w:pPr>
        <w:rPr>
          <w:rFonts w:ascii="Times New Roman" w:hAnsi="Times New Roman" w:cs="Times New Roman"/>
          <w:b/>
          <w:sz w:val="24"/>
        </w:rPr>
      </w:pPr>
      <w:r w:rsidRPr="00156B25">
        <w:rPr>
          <w:rFonts w:ascii="Times New Roman" w:hAnsi="Times New Roman" w:cs="Times New Roman"/>
          <w:b/>
          <w:sz w:val="24"/>
        </w:rPr>
        <w:t xml:space="preserve">Chart 6: </w:t>
      </w:r>
      <w:r w:rsidR="00144BE8" w:rsidRPr="00156B25">
        <w:rPr>
          <w:rFonts w:ascii="Times New Roman" w:hAnsi="Times New Roman" w:cs="Times New Roman"/>
          <w:b/>
          <w:sz w:val="24"/>
        </w:rPr>
        <w:t>Synthesis Chart</w:t>
      </w:r>
      <w:r w:rsidRPr="00156B25">
        <w:rPr>
          <w:rFonts w:ascii="Times New Roman" w:hAnsi="Times New Roman" w:cs="Times New Roman"/>
          <w:b/>
          <w:sz w:val="24"/>
        </w:rPr>
        <w:t xml:space="preserve"> for Chapter 2, Money, Wealth and Financial Literacy</w:t>
      </w:r>
    </w:p>
    <w:p w:rsidR="00144BE8" w:rsidRPr="00156B25" w:rsidRDefault="00144BE8" w:rsidP="00144BE8">
      <w:pPr>
        <w:rPr>
          <w:rFonts w:ascii="Times New Roman" w:hAnsi="Times New Roman" w:cs="Times New Roman"/>
          <w:sz w:val="24"/>
        </w:rPr>
      </w:pPr>
      <w:r w:rsidRPr="00156B25">
        <w:rPr>
          <w:rFonts w:ascii="Times New Roman" w:hAnsi="Times New Roman" w:cs="Times New Roman"/>
          <w:sz w:val="24"/>
        </w:rPr>
        <w:t>Use the chart below to help organize your thoughts about the readings in this chapter. For more guidance</w:t>
      </w:r>
      <w:r w:rsidR="00E32C40" w:rsidRPr="00156B25">
        <w:rPr>
          <w:rFonts w:ascii="Times New Roman" w:hAnsi="Times New Roman" w:cs="Times New Roman"/>
          <w:sz w:val="24"/>
        </w:rPr>
        <w:t>, see p. 88</w:t>
      </w:r>
      <w:r w:rsidR="00C6176B" w:rsidRPr="00156B25">
        <w:rPr>
          <w:rFonts w:ascii="Times New Roman" w:hAnsi="Times New Roman" w:cs="Times New Roman"/>
          <w:sz w:val="24"/>
        </w:rPr>
        <w:t xml:space="preserve"> of your print book. </w:t>
      </w:r>
      <w:r w:rsidRPr="00156B25">
        <w:rPr>
          <w:rFonts w:ascii="Times New Roman" w:hAnsi="Times New Roman" w:cs="Times New Roman"/>
          <w:sz w:val="24"/>
        </w:rPr>
        <w:t>Add rows to the chart as needed.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3240"/>
        <w:gridCol w:w="1841"/>
        <w:gridCol w:w="1841"/>
        <w:gridCol w:w="1841"/>
        <w:gridCol w:w="1841"/>
        <w:gridCol w:w="2356"/>
      </w:tblGrid>
      <w:tr w:rsidR="00144BE8" w:rsidRPr="00156B25" w:rsidTr="00156B25">
        <w:trPr>
          <w:cantSplit/>
          <w:trHeight w:val="1330"/>
          <w:tblHeader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E8" w:rsidRPr="00156B25" w:rsidRDefault="00144BE8" w:rsidP="00156B25">
            <w:pPr>
              <w:jc w:val="center"/>
              <w:rPr>
                <w:rFonts w:ascii="Times New Roman" w:hAnsi="Times New Roman" w:cs="Times New Roman"/>
              </w:rPr>
            </w:pPr>
          </w:p>
          <w:p w:rsidR="00144BE8" w:rsidRPr="00156B25" w:rsidRDefault="00144BE8" w:rsidP="0015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E8" w:rsidRPr="00156B25" w:rsidRDefault="00144BE8" w:rsidP="00156B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B25">
              <w:rPr>
                <w:rFonts w:ascii="Times New Roman" w:hAnsi="Times New Roman" w:cs="Times New Roman"/>
                <w:b/>
                <w:sz w:val="24"/>
              </w:rPr>
              <w:t>Financial Literacy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E8" w:rsidRPr="00156B25" w:rsidRDefault="00144BE8" w:rsidP="00156B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B25">
              <w:rPr>
                <w:rFonts w:ascii="Times New Roman" w:hAnsi="Times New Roman" w:cs="Times New Roman"/>
                <w:b/>
                <w:sz w:val="24"/>
              </w:rPr>
              <w:t>Factors that add to financial stability and/or wealth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E8" w:rsidRPr="00156B25" w:rsidRDefault="00144BE8" w:rsidP="0015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B25">
              <w:rPr>
                <w:rFonts w:ascii="Times New Roman" w:hAnsi="Times New Roman" w:cs="Times New Roman"/>
                <w:b/>
                <w:sz w:val="24"/>
              </w:rPr>
              <w:t>Money in personal relationships</w:t>
            </w:r>
          </w:p>
          <w:p w:rsidR="00144BE8" w:rsidRPr="00156B25" w:rsidRDefault="00144BE8" w:rsidP="00156B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E8" w:rsidRPr="00156B25" w:rsidRDefault="00144BE8" w:rsidP="0015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B25">
              <w:rPr>
                <w:rFonts w:ascii="Times New Roman" w:hAnsi="Times New Roman" w:cs="Times New Roman"/>
                <w:b/>
                <w:sz w:val="24"/>
              </w:rPr>
              <w:t>Wealth gap</w:t>
            </w:r>
          </w:p>
          <w:p w:rsidR="00144BE8" w:rsidRPr="00156B25" w:rsidRDefault="00144BE8" w:rsidP="00156B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E8" w:rsidRPr="00156B25" w:rsidRDefault="00144BE8" w:rsidP="00156B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B25">
              <w:rPr>
                <w:rFonts w:ascii="Times New Roman" w:hAnsi="Times New Roman" w:cs="Times New Roman"/>
                <w:b/>
                <w:sz w:val="24"/>
              </w:rPr>
              <w:t>Other</w:t>
            </w:r>
          </w:p>
        </w:tc>
      </w:tr>
      <w:tr w:rsidR="00144BE8" w:rsidRPr="00156B25" w:rsidTr="00156B25">
        <w:trPr>
          <w:cantSplit/>
          <w:trHeight w:val="81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144BE8">
            <w:pPr>
              <w:rPr>
                <w:rFonts w:ascii="Times New Roman" w:hAnsi="Times New Roman" w:cs="Times New Roman"/>
                <w:sz w:val="24"/>
              </w:rPr>
            </w:pPr>
            <w:r w:rsidRPr="00156B25">
              <w:rPr>
                <w:rFonts w:ascii="Times New Roman" w:hAnsi="Times New Roman" w:cs="Times New Roman"/>
                <w:sz w:val="24"/>
              </w:rPr>
              <w:t xml:space="preserve">Holder and Meeks, </w:t>
            </w:r>
            <w:r w:rsidR="00156B25">
              <w:rPr>
                <w:rFonts w:ascii="Times New Roman" w:hAnsi="Times New Roman" w:cs="Times New Roman"/>
                <w:sz w:val="24"/>
              </w:rPr>
              <w:br/>
            </w:r>
            <w:r w:rsidRPr="00156B25">
              <w:rPr>
                <w:rFonts w:ascii="Times New Roman" w:hAnsi="Times New Roman" w:cs="Times New Roman"/>
                <w:sz w:val="24"/>
              </w:rPr>
              <w:t>“Teach Your Children the Building Blocks of Finance”</w:t>
            </w:r>
          </w:p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BE8" w:rsidRPr="00156B25" w:rsidTr="00156B25">
        <w:trPr>
          <w:cantSplit/>
          <w:trHeight w:val="163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144B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6B25">
              <w:rPr>
                <w:rFonts w:ascii="Times New Roman" w:hAnsi="Times New Roman" w:cs="Times New Roman"/>
                <w:sz w:val="24"/>
              </w:rPr>
              <w:t>Mellan</w:t>
            </w:r>
            <w:proofErr w:type="spellEnd"/>
            <w:r w:rsidRPr="00156B2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56B25">
              <w:rPr>
                <w:rFonts w:ascii="Times New Roman" w:hAnsi="Times New Roman" w:cs="Times New Roman"/>
                <w:sz w:val="24"/>
              </w:rPr>
              <w:br/>
            </w:r>
            <w:r w:rsidRPr="00156B25">
              <w:rPr>
                <w:rFonts w:ascii="Times New Roman" w:hAnsi="Times New Roman" w:cs="Times New Roman"/>
                <w:sz w:val="24"/>
              </w:rPr>
              <w:t>“Men, Women, and Money”</w:t>
            </w:r>
          </w:p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BE8" w:rsidRPr="00156B25" w:rsidTr="00156B25">
        <w:trPr>
          <w:cantSplit/>
          <w:trHeight w:val="135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144BE8">
            <w:pPr>
              <w:rPr>
                <w:rFonts w:ascii="Times New Roman" w:hAnsi="Times New Roman" w:cs="Times New Roman"/>
                <w:sz w:val="24"/>
              </w:rPr>
            </w:pPr>
            <w:r w:rsidRPr="00156B25">
              <w:rPr>
                <w:rFonts w:ascii="Times New Roman" w:hAnsi="Times New Roman" w:cs="Times New Roman"/>
                <w:sz w:val="24"/>
              </w:rPr>
              <w:t>Bureau of Labor Statistics, “Education Pays” (Chart)</w:t>
            </w:r>
          </w:p>
          <w:p w:rsidR="00144BE8" w:rsidRPr="00156B25" w:rsidRDefault="00144BE8" w:rsidP="00144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BE8" w:rsidRPr="00156B25" w:rsidTr="00156B25">
        <w:trPr>
          <w:cantSplit/>
          <w:trHeight w:val="543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144B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6B25">
              <w:rPr>
                <w:rFonts w:ascii="Times New Roman" w:hAnsi="Times New Roman" w:cs="Times New Roman"/>
                <w:sz w:val="24"/>
              </w:rPr>
              <w:lastRenderedPageBreak/>
              <w:t>Schug</w:t>
            </w:r>
            <w:proofErr w:type="spellEnd"/>
            <w:r w:rsidRPr="00156B25"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 w:rsidRPr="00156B25">
              <w:rPr>
                <w:rFonts w:ascii="Times New Roman" w:hAnsi="Times New Roman" w:cs="Times New Roman"/>
                <w:sz w:val="24"/>
              </w:rPr>
              <w:t>Hagedorn</w:t>
            </w:r>
            <w:proofErr w:type="spellEnd"/>
            <w:r w:rsidRPr="00156B2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56B25">
              <w:rPr>
                <w:rFonts w:ascii="Times New Roman" w:hAnsi="Times New Roman" w:cs="Times New Roman"/>
                <w:sz w:val="24"/>
              </w:rPr>
              <w:br/>
            </w:r>
            <w:r w:rsidRPr="00156B25">
              <w:rPr>
                <w:rFonts w:ascii="Times New Roman" w:hAnsi="Times New Roman" w:cs="Times New Roman"/>
                <w:sz w:val="24"/>
              </w:rPr>
              <w:t>“</w:t>
            </w:r>
            <w:proofErr w:type="spellStart"/>
            <w:r w:rsidRPr="00156B25">
              <w:rPr>
                <w:rFonts w:ascii="Times New Roman" w:hAnsi="Times New Roman" w:cs="Times New Roman"/>
                <w:sz w:val="24"/>
              </w:rPr>
              <w:t>Milwau-kee’s</w:t>
            </w:r>
            <w:proofErr w:type="spellEnd"/>
            <w:r w:rsidRPr="00156B25">
              <w:rPr>
                <w:rFonts w:ascii="Times New Roman" w:hAnsi="Times New Roman" w:cs="Times New Roman"/>
                <w:sz w:val="24"/>
              </w:rPr>
              <w:t xml:space="preserve"> Youth Enterprise Academy”</w:t>
            </w:r>
          </w:p>
          <w:p w:rsidR="00144BE8" w:rsidRPr="00156B25" w:rsidRDefault="00144BE8" w:rsidP="00144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BE8" w:rsidRPr="00156B25" w:rsidTr="00156B25">
        <w:trPr>
          <w:cantSplit/>
          <w:trHeight w:val="1393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144BE8">
            <w:pPr>
              <w:rPr>
                <w:rFonts w:ascii="Times New Roman" w:hAnsi="Times New Roman" w:cs="Times New Roman"/>
              </w:rPr>
            </w:pPr>
            <w:proofErr w:type="spellStart"/>
            <w:r w:rsidRPr="00156B25">
              <w:rPr>
                <w:rFonts w:ascii="Times New Roman" w:hAnsi="Times New Roman" w:cs="Times New Roman"/>
                <w:sz w:val="24"/>
              </w:rPr>
              <w:t>Kochhar</w:t>
            </w:r>
            <w:proofErr w:type="spellEnd"/>
            <w:r w:rsidRPr="00156B25">
              <w:rPr>
                <w:rFonts w:ascii="Times New Roman" w:hAnsi="Times New Roman" w:cs="Times New Roman"/>
                <w:sz w:val="24"/>
              </w:rPr>
              <w:t>, Fry, and Taylor, “Wealth Gaps Rise to Record Highs between Whites, Blacks, and Hispanics”)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BE8" w:rsidRPr="00156B25" w:rsidTr="00156B25">
        <w:trPr>
          <w:cantSplit/>
          <w:trHeight w:val="186"/>
        </w:trPr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25" w:rsidRDefault="00144BE8" w:rsidP="00144B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6B25">
              <w:rPr>
                <w:rFonts w:ascii="Times New Roman" w:hAnsi="Times New Roman" w:cs="Times New Roman"/>
                <w:sz w:val="24"/>
              </w:rPr>
              <w:t>Fessler</w:t>
            </w:r>
            <w:proofErr w:type="spellEnd"/>
            <w:r w:rsidRPr="00156B25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44BE8" w:rsidRDefault="00144BE8" w:rsidP="00144B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156B25">
              <w:rPr>
                <w:rFonts w:ascii="Times New Roman" w:hAnsi="Times New Roman" w:cs="Times New Roman"/>
                <w:sz w:val="24"/>
              </w:rPr>
              <w:t>“Making It in the U.S.: More Than Just Hard Work”</w:t>
            </w:r>
          </w:p>
          <w:p w:rsidR="00156B25" w:rsidRPr="00156B25" w:rsidRDefault="00156B25" w:rsidP="00144B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BE8" w:rsidRPr="00156B25" w:rsidTr="00156B25">
        <w:trPr>
          <w:cantSplit/>
          <w:trHeight w:val="175"/>
        </w:trPr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Default="00144BE8" w:rsidP="00144B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6B25">
              <w:rPr>
                <w:rFonts w:ascii="Times New Roman" w:hAnsi="Times New Roman" w:cs="Times New Roman"/>
                <w:sz w:val="24"/>
              </w:rPr>
              <w:t>My Thoughts</w:t>
            </w:r>
          </w:p>
          <w:p w:rsidR="00156B25" w:rsidRPr="00156B25" w:rsidRDefault="00156B25" w:rsidP="00144B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E8" w:rsidRPr="00156B25" w:rsidRDefault="00144BE8" w:rsidP="00A6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BE8" w:rsidRPr="00156B25" w:rsidRDefault="00144BE8" w:rsidP="00144BE8">
      <w:pPr>
        <w:rPr>
          <w:rFonts w:ascii="Times New Roman" w:hAnsi="Times New Roman" w:cs="Times New Roman"/>
          <w:color w:val="0000FF"/>
          <w:u w:val="single"/>
        </w:rPr>
      </w:pPr>
    </w:p>
    <w:p w:rsidR="00D22DC6" w:rsidRPr="00156B25" w:rsidRDefault="00D22DC6">
      <w:pPr>
        <w:rPr>
          <w:rFonts w:ascii="Times New Roman" w:hAnsi="Times New Roman" w:cs="Times New Roman"/>
        </w:rPr>
      </w:pPr>
    </w:p>
    <w:sectPr w:rsidR="00D22DC6" w:rsidRPr="00156B25" w:rsidSect="00C6176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5C" w:rsidRDefault="00D6205C" w:rsidP="00C6176B">
      <w:pPr>
        <w:spacing w:after="0" w:line="240" w:lineRule="auto"/>
      </w:pPr>
      <w:r>
        <w:separator/>
      </w:r>
    </w:p>
  </w:endnote>
  <w:endnote w:type="continuationSeparator" w:id="0">
    <w:p w:rsidR="00D6205C" w:rsidRDefault="00D6205C" w:rsidP="00C6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6B" w:rsidRDefault="00C6176B" w:rsidP="00C6176B">
    <w:pPr>
      <w:pStyle w:val="Header"/>
    </w:pPr>
    <w:r>
      <w:rPr>
        <w:i/>
      </w:rPr>
      <w:t>Read, Write, Connect: A Guide to College Reading and Writing</w:t>
    </w:r>
  </w:p>
  <w:p w:rsidR="00C6176B" w:rsidRDefault="00C6176B" w:rsidP="00C6176B">
    <w:pPr>
      <w:pStyle w:val="Header"/>
    </w:pPr>
    <w:r>
      <w:t xml:space="preserve">Kathleen Green and Amy </w:t>
    </w:r>
    <w:proofErr w:type="spellStart"/>
    <w:r>
      <w:t>Lawlor</w:t>
    </w:r>
    <w:proofErr w:type="spellEnd"/>
  </w:p>
  <w:p w:rsidR="00C6176B" w:rsidRDefault="00C6176B" w:rsidP="00C6176B">
    <w:pPr>
      <w:pStyle w:val="Header"/>
    </w:pPr>
    <w:r>
      <w:t>©2014, Bedford/St. Martin’s</w:t>
    </w:r>
  </w:p>
  <w:p w:rsidR="00C6176B" w:rsidRDefault="00C6176B">
    <w:pPr>
      <w:pStyle w:val="Footer"/>
    </w:pPr>
  </w:p>
  <w:p w:rsidR="00C6176B" w:rsidRDefault="00C61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5C" w:rsidRDefault="00D6205C" w:rsidP="00C6176B">
      <w:pPr>
        <w:spacing w:after="0" w:line="240" w:lineRule="auto"/>
      </w:pPr>
      <w:r>
        <w:separator/>
      </w:r>
    </w:p>
  </w:footnote>
  <w:footnote w:type="continuationSeparator" w:id="0">
    <w:p w:rsidR="00D6205C" w:rsidRDefault="00D6205C" w:rsidP="00C61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E8"/>
    <w:rsid w:val="00144BE8"/>
    <w:rsid w:val="00156B25"/>
    <w:rsid w:val="00160353"/>
    <w:rsid w:val="005126F9"/>
    <w:rsid w:val="007453A2"/>
    <w:rsid w:val="00A66FD1"/>
    <w:rsid w:val="00C6176B"/>
    <w:rsid w:val="00D22DC6"/>
    <w:rsid w:val="00D6205C"/>
    <w:rsid w:val="00E32C40"/>
    <w:rsid w:val="00F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6B"/>
  </w:style>
  <w:style w:type="paragraph" w:styleId="Footer">
    <w:name w:val="footer"/>
    <w:basedOn w:val="Normal"/>
    <w:link w:val="FooterChar"/>
    <w:uiPriority w:val="99"/>
    <w:unhideWhenUsed/>
    <w:rsid w:val="00C6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6B"/>
  </w:style>
  <w:style w:type="paragraph" w:styleId="BalloonText">
    <w:name w:val="Balloon Text"/>
    <w:basedOn w:val="Normal"/>
    <w:link w:val="BalloonTextChar"/>
    <w:uiPriority w:val="99"/>
    <w:semiHidden/>
    <w:unhideWhenUsed/>
    <w:rsid w:val="00C6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6B"/>
  </w:style>
  <w:style w:type="paragraph" w:styleId="Footer">
    <w:name w:val="footer"/>
    <w:basedOn w:val="Normal"/>
    <w:link w:val="FooterChar"/>
    <w:uiPriority w:val="99"/>
    <w:unhideWhenUsed/>
    <w:rsid w:val="00C6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6B"/>
  </w:style>
  <w:style w:type="paragraph" w:styleId="BalloonText">
    <w:name w:val="Balloon Text"/>
    <w:basedOn w:val="Normal"/>
    <w:link w:val="BalloonTextChar"/>
    <w:uiPriority w:val="99"/>
    <w:semiHidden/>
    <w:unhideWhenUsed/>
    <w:rsid w:val="00C6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Darion</dc:creator>
  <cp:lastModifiedBy>Melissa Graham Meeks</cp:lastModifiedBy>
  <cp:revision>5</cp:revision>
  <dcterms:created xsi:type="dcterms:W3CDTF">2013-07-30T14:51:00Z</dcterms:created>
  <dcterms:modified xsi:type="dcterms:W3CDTF">2014-07-10T12:17:00Z</dcterms:modified>
</cp:coreProperties>
</file>